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4A" w:rsidRDefault="00C53D4A" w:rsidP="00C53D4A">
      <w:pPr>
        <w:pStyle w:val="tx"/>
        <w:shd w:val="clear" w:color="auto" w:fill="FFFFFF"/>
        <w:spacing w:before="0" w:beforeAutospacing="0" w:after="80" w:afterAutospacing="0"/>
        <w:jc w:val="both"/>
        <w:rPr>
          <w:color w:val="444444"/>
        </w:rPr>
      </w:pPr>
      <w:r>
        <w:rPr>
          <w:b/>
          <w:bCs/>
          <w:color w:val="444444"/>
        </w:rPr>
        <w:t>Deduction of tax on benefit or perquisite in respect of business or profession.</w:t>
      </w:r>
      <w:hyperlink r:id="rId5" w:history="1">
        <w:r>
          <w:rPr>
            <w:rStyle w:val="Hyperlink"/>
            <w:color w:val="0072C6"/>
            <w:vertAlign w:val="superscript"/>
          </w:rPr>
          <w:t>29</w:t>
        </w:r>
      </w:hyperlink>
    </w:p>
    <w:p w:rsidR="00C53D4A" w:rsidRDefault="00C53D4A" w:rsidP="00C53D4A">
      <w:pPr>
        <w:pStyle w:val="tx"/>
        <w:shd w:val="clear" w:color="auto" w:fill="FFFFFF"/>
        <w:spacing w:before="0" w:beforeAutospacing="0" w:after="80" w:afterAutospacing="0"/>
        <w:jc w:val="both"/>
        <w:rPr>
          <w:color w:val="444444"/>
        </w:rPr>
      </w:pPr>
      <w:r>
        <w:rPr>
          <w:b/>
          <w:bCs/>
          <w:color w:val="444444"/>
        </w:rPr>
        <w:t>194R.</w:t>
      </w:r>
      <w:r>
        <w:rPr>
          <w:color w:val="444444"/>
        </w:rPr>
        <w:t> </w:t>
      </w:r>
      <w:r>
        <w:rPr>
          <w:i/>
          <w:iCs/>
          <w:color w:val="444444"/>
        </w:rPr>
        <w:t>(1) Any person responsible for providing to a resident, any benefit or perquisite, whether convertible into money or not, arising from business or the exercise of a profession, by such resident, shall, before providing such benefit or perquisite, as the case may be, to such resident, ensure that tax has been deducted in respect of such benefit or perquisite at the rate of ten per cent of the value or aggregate of value of such benefit or perquisite:</w:t>
      </w:r>
    </w:p>
    <w:p w:rsidR="00C53D4A" w:rsidRDefault="00C53D4A" w:rsidP="00C53D4A">
      <w:pPr>
        <w:pStyle w:val="tx"/>
        <w:shd w:val="clear" w:color="auto" w:fill="FFFFFF"/>
        <w:spacing w:before="0" w:beforeAutospacing="0" w:after="80" w:afterAutospacing="0"/>
        <w:jc w:val="both"/>
        <w:rPr>
          <w:color w:val="444444"/>
        </w:rPr>
      </w:pPr>
      <w:r>
        <w:rPr>
          <w:b/>
          <w:bCs/>
          <w:color w:val="444444"/>
        </w:rPr>
        <w:t>Provided</w:t>
      </w:r>
      <w:r>
        <w:rPr>
          <w:i/>
          <w:iCs/>
          <w:color w:val="444444"/>
        </w:rPr>
        <w:t> that in a case where the benefit or perquisite, as the case may be, is wholly in kind or partly in cash and partly in kind but such part in cash is not sufficient to meet the liability of deduction of tax in respect of whole of such benefit or perquisite, the person responsible for providing such benefit or perquisite shall, before releasing the benefit or perquisite, ensure that tax required to be deducted has been paid in respect of the benefit or perquisite:</w:t>
      </w:r>
    </w:p>
    <w:p w:rsidR="00C53D4A" w:rsidRDefault="00C53D4A" w:rsidP="00C53D4A">
      <w:pPr>
        <w:pStyle w:val="tx"/>
        <w:shd w:val="clear" w:color="auto" w:fill="FFFFFF"/>
        <w:spacing w:before="0" w:beforeAutospacing="0" w:after="80" w:afterAutospacing="0"/>
        <w:jc w:val="both"/>
        <w:rPr>
          <w:color w:val="444444"/>
        </w:rPr>
      </w:pPr>
      <w:r>
        <w:rPr>
          <w:b/>
          <w:bCs/>
          <w:color w:val="444444"/>
        </w:rPr>
        <w:t>Provided further</w:t>
      </w:r>
      <w:r>
        <w:rPr>
          <w:i/>
          <w:iCs/>
          <w:color w:val="444444"/>
        </w:rPr>
        <w:t> that the provisions of this section shall not apply in case of a resident where the value or aggregate of value of the benefit or perquisite provided or likely to be provided to such resident during the financial year does not exceed twenty thousand rupees:</w:t>
      </w:r>
    </w:p>
    <w:p w:rsidR="00C53D4A" w:rsidRDefault="00C53D4A" w:rsidP="00C53D4A">
      <w:pPr>
        <w:pStyle w:val="tx"/>
        <w:shd w:val="clear" w:color="auto" w:fill="FFFFFF"/>
        <w:spacing w:before="0" w:beforeAutospacing="0" w:after="80" w:afterAutospacing="0"/>
        <w:jc w:val="both"/>
        <w:rPr>
          <w:color w:val="444444"/>
        </w:rPr>
      </w:pPr>
      <w:r>
        <w:rPr>
          <w:b/>
          <w:bCs/>
          <w:color w:val="444444"/>
        </w:rPr>
        <w:t>Provided also</w:t>
      </w:r>
      <w:r>
        <w:rPr>
          <w:i/>
          <w:iCs/>
          <w:color w:val="444444"/>
        </w:rPr>
        <w:t> that the provisions of this section shall not apply to a person being an individual or a Hindu undivided family, whose total sales, gross receipts or turnover does not exceed one crore rupees in case of business or fifty lakh rupees in case of profession, during the financial year immediately preceding the financial year in which such benefit or perquisite, as the case may be, is provided by such person.</w:t>
      </w:r>
    </w:p>
    <w:p w:rsidR="00C53D4A" w:rsidRDefault="00C53D4A" w:rsidP="00C53D4A">
      <w:pPr>
        <w:pStyle w:val="tx"/>
        <w:shd w:val="clear" w:color="auto" w:fill="FFFFFF"/>
        <w:spacing w:before="0" w:beforeAutospacing="0" w:after="80" w:afterAutospacing="0"/>
        <w:jc w:val="both"/>
        <w:rPr>
          <w:color w:val="444444"/>
        </w:rPr>
      </w:pPr>
      <w:r>
        <w:rPr>
          <w:i/>
          <w:iCs/>
          <w:color w:val="444444"/>
        </w:rPr>
        <w:t>(2) If any difficulty arises in giving effect to the provisions of this section, the Board may, with the previous approval of the Central Government, issue guidelines for the purpose of removing the difficulty.</w:t>
      </w:r>
    </w:p>
    <w:p w:rsidR="00C53D4A" w:rsidRDefault="00C53D4A" w:rsidP="00C53D4A">
      <w:pPr>
        <w:pStyle w:val="tx"/>
        <w:shd w:val="clear" w:color="auto" w:fill="FFFFFF"/>
        <w:spacing w:before="0" w:beforeAutospacing="0" w:after="80" w:afterAutospacing="0"/>
        <w:jc w:val="both"/>
        <w:rPr>
          <w:color w:val="444444"/>
        </w:rPr>
      </w:pPr>
      <w:r>
        <w:rPr>
          <w:i/>
          <w:iCs/>
          <w:color w:val="444444"/>
        </w:rPr>
        <w:t>(3) Every guideline issued by the Board under sub-section (2) shall, as soon as may be after it is issued, be laid before each House of Parliament, and shall be binding on the income-tax authorities and on the person providing any such benefit or perquisite.</w:t>
      </w:r>
    </w:p>
    <w:p w:rsidR="00C53D4A" w:rsidRDefault="00C53D4A" w:rsidP="00C53D4A">
      <w:pPr>
        <w:pStyle w:val="tx"/>
        <w:shd w:val="clear" w:color="auto" w:fill="FFFFFF"/>
        <w:spacing w:before="0" w:beforeAutospacing="0" w:after="80" w:afterAutospacing="0"/>
        <w:jc w:val="both"/>
        <w:rPr>
          <w:b/>
          <w:bCs/>
          <w:color w:val="444444"/>
        </w:rPr>
      </w:pPr>
      <w:r>
        <w:rPr>
          <w:color w:val="444444"/>
        </w:rPr>
        <w:t>Explanation</w:t>
      </w:r>
      <w:r>
        <w:rPr>
          <w:i/>
          <w:iCs/>
          <w:color w:val="444444"/>
        </w:rPr>
        <w:t>.—For the purposes of this section, the expression "person responsible for providing" means the person providing such benefit or perquisite, or in case of a company, the company itself including the principal officer thereof.</w:t>
      </w:r>
      <w:r>
        <w:rPr>
          <w:b/>
          <w:bCs/>
          <w:color w:val="444444"/>
        </w:rPr>
        <w:t>]</w:t>
      </w:r>
    </w:p>
    <w:p w:rsidR="00C53D4A" w:rsidRDefault="00C53D4A" w:rsidP="00C53D4A">
      <w:pPr>
        <w:pStyle w:val="tx"/>
        <w:shd w:val="clear" w:color="auto" w:fill="FFFFFF"/>
        <w:spacing w:before="0" w:beforeAutospacing="0" w:after="80" w:afterAutospacing="0"/>
        <w:jc w:val="both"/>
        <w:rPr>
          <w:b/>
          <w:bCs/>
          <w:color w:val="444444"/>
        </w:rPr>
      </w:pPr>
    </w:p>
    <w:p w:rsidR="00C53D4A" w:rsidRDefault="00C53D4A">
      <w:pPr>
        <w:rPr>
          <w:rFonts w:ascii="Times New Roman" w:eastAsia="Times New Roman" w:hAnsi="Times New Roman" w:cs="Times New Roman"/>
          <w:b/>
          <w:bCs/>
          <w:color w:val="444444"/>
          <w:sz w:val="24"/>
          <w:szCs w:val="24"/>
          <w:lang w:eastAsia="en-IN" w:bidi="hi-IN"/>
        </w:rPr>
      </w:pPr>
      <w:r>
        <w:rPr>
          <w:b/>
          <w:bCs/>
          <w:color w:val="444444"/>
        </w:rPr>
        <w:br w:type="page"/>
      </w:r>
    </w:p>
    <w:p w:rsidR="00C53D4A" w:rsidRDefault="00C53D4A" w:rsidP="00C53D4A">
      <w:pPr>
        <w:pStyle w:val="tx"/>
        <w:shd w:val="clear" w:color="auto" w:fill="FFFFFF"/>
        <w:spacing w:before="0" w:beforeAutospacing="0" w:after="80" w:afterAutospacing="0"/>
        <w:jc w:val="both"/>
        <w:rPr>
          <w:color w:val="444444"/>
        </w:rPr>
      </w:pPr>
    </w:p>
    <w:p w:rsidR="00C53D4A" w:rsidRDefault="00C53D4A" w:rsidP="00C53D4A">
      <w:pPr>
        <w:pStyle w:val="tx"/>
        <w:shd w:val="clear" w:color="auto" w:fill="FFFFFF"/>
        <w:spacing w:before="0" w:beforeAutospacing="0" w:after="80" w:afterAutospacing="0"/>
        <w:jc w:val="both"/>
        <w:rPr>
          <w:color w:val="444444"/>
        </w:rPr>
      </w:pPr>
      <w:r>
        <w:rPr>
          <w:b/>
          <w:bCs/>
          <w:color w:val="444444"/>
        </w:rPr>
        <w:t>[Payment on transfer of virtual digital asset.</w:t>
      </w:r>
      <w:hyperlink r:id="rId6" w:history="1">
        <w:r>
          <w:rPr>
            <w:rStyle w:val="Hyperlink"/>
            <w:color w:val="0072C6"/>
            <w:vertAlign w:val="superscript"/>
          </w:rPr>
          <w:t>31</w:t>
        </w:r>
      </w:hyperlink>
    </w:p>
    <w:p w:rsidR="00C53D4A" w:rsidRDefault="00C53D4A" w:rsidP="00C53D4A">
      <w:pPr>
        <w:pStyle w:val="tx"/>
        <w:shd w:val="clear" w:color="auto" w:fill="FFFFFF"/>
        <w:spacing w:before="0" w:beforeAutospacing="0" w:after="80" w:afterAutospacing="0"/>
        <w:jc w:val="both"/>
        <w:rPr>
          <w:color w:val="444444"/>
        </w:rPr>
      </w:pPr>
      <w:r>
        <w:rPr>
          <w:b/>
          <w:bCs/>
          <w:color w:val="444444"/>
        </w:rPr>
        <w:t>194S.</w:t>
      </w:r>
      <w:r>
        <w:rPr>
          <w:color w:val="444444"/>
        </w:rPr>
        <w:t> </w:t>
      </w:r>
      <w:r>
        <w:rPr>
          <w:i/>
          <w:iCs/>
          <w:color w:val="444444"/>
        </w:rPr>
        <w:t>(1) Any person responsible for paying to any resident any sum by way of consideration for transfer of a virtual digital asset, shall, at the time of credit of such sum to the account of the resident or at the time of payment of such sum by any mode, whichever is earlier, deduct an amount equal to one per cent of such sum as income-tax thereon:</w:t>
      </w:r>
    </w:p>
    <w:p w:rsidR="00C53D4A" w:rsidRDefault="00C53D4A" w:rsidP="00C53D4A">
      <w:pPr>
        <w:pStyle w:val="tx"/>
        <w:shd w:val="clear" w:color="auto" w:fill="FFFFFF"/>
        <w:spacing w:before="0" w:beforeAutospacing="0" w:after="80" w:afterAutospacing="0"/>
        <w:jc w:val="both"/>
        <w:rPr>
          <w:color w:val="444444"/>
        </w:rPr>
      </w:pPr>
      <w:r>
        <w:rPr>
          <w:b/>
          <w:bCs/>
          <w:color w:val="444444"/>
        </w:rPr>
        <w:t>Provided</w:t>
      </w:r>
      <w:r>
        <w:rPr>
          <w:i/>
          <w:iCs/>
          <w:color w:val="444444"/>
        </w:rPr>
        <w:t> that in a case where the consideration for transfer of virtual digital asset is—</w:t>
      </w:r>
    </w:p>
    <w:p w:rsidR="00C53D4A" w:rsidRDefault="00C53D4A" w:rsidP="00C53D4A">
      <w:pPr>
        <w:pStyle w:val="indent1"/>
        <w:shd w:val="clear" w:color="auto" w:fill="FFFFFF"/>
        <w:spacing w:before="0" w:beforeAutospacing="0" w:after="80" w:afterAutospacing="0"/>
        <w:ind w:left="567" w:hanging="397"/>
        <w:jc w:val="both"/>
        <w:rPr>
          <w:color w:val="444444"/>
        </w:rPr>
      </w:pPr>
      <w:r>
        <w:rPr>
          <w:color w:val="444444"/>
        </w:rPr>
        <w:t> </w:t>
      </w:r>
      <w:r>
        <w:rPr>
          <w:i/>
          <w:iCs/>
          <w:color w:val="444444"/>
        </w:rPr>
        <w:t>(</w:t>
      </w:r>
      <w:r>
        <w:rPr>
          <w:color w:val="444444"/>
        </w:rPr>
        <w:t>a</w:t>
      </w:r>
      <w:r>
        <w:rPr>
          <w:i/>
          <w:iCs/>
          <w:color w:val="444444"/>
        </w:rPr>
        <w:t>)</w:t>
      </w:r>
      <w:r>
        <w:rPr>
          <w:color w:val="444444"/>
        </w:rPr>
        <w:t> </w:t>
      </w:r>
      <w:r>
        <w:rPr>
          <w:i/>
          <w:iCs/>
          <w:color w:val="444444"/>
        </w:rPr>
        <w:t>wholly in kind or in exchange of another virtual digital asset, where there is no part in cash; or</w:t>
      </w:r>
    </w:p>
    <w:p w:rsidR="00C53D4A" w:rsidRDefault="00C53D4A" w:rsidP="00C53D4A">
      <w:pPr>
        <w:pStyle w:val="indent1"/>
        <w:shd w:val="clear" w:color="auto" w:fill="FFFFFF"/>
        <w:spacing w:before="0" w:beforeAutospacing="0" w:after="80" w:afterAutospacing="0"/>
        <w:ind w:left="567" w:hanging="397"/>
        <w:jc w:val="both"/>
        <w:rPr>
          <w:color w:val="444444"/>
        </w:rPr>
      </w:pPr>
      <w:r>
        <w:rPr>
          <w:color w:val="444444"/>
        </w:rPr>
        <w:t> </w:t>
      </w:r>
      <w:r>
        <w:rPr>
          <w:i/>
          <w:iCs/>
          <w:color w:val="444444"/>
        </w:rPr>
        <w:t>(</w:t>
      </w:r>
      <w:r>
        <w:rPr>
          <w:color w:val="444444"/>
        </w:rPr>
        <w:t>b</w:t>
      </w:r>
      <w:r>
        <w:rPr>
          <w:i/>
          <w:iCs/>
          <w:color w:val="444444"/>
        </w:rPr>
        <w:t>)</w:t>
      </w:r>
      <w:r>
        <w:rPr>
          <w:color w:val="444444"/>
        </w:rPr>
        <w:t> </w:t>
      </w:r>
      <w:r>
        <w:rPr>
          <w:i/>
          <w:iCs/>
          <w:color w:val="444444"/>
        </w:rPr>
        <w:t>partly in cash and partly in kind but the part in cash is not sufficient to meet the liability of deduction of tax in respect of whole of such transfer,</w:t>
      </w:r>
    </w:p>
    <w:p w:rsidR="00C53D4A" w:rsidRDefault="00C53D4A" w:rsidP="00C53D4A">
      <w:pPr>
        <w:pStyle w:val="tx"/>
        <w:shd w:val="clear" w:color="auto" w:fill="FFFFFF"/>
        <w:spacing w:before="0" w:beforeAutospacing="0" w:after="80" w:afterAutospacing="0"/>
        <w:jc w:val="both"/>
        <w:rPr>
          <w:color w:val="444444"/>
        </w:rPr>
      </w:pPr>
      <w:r>
        <w:rPr>
          <w:i/>
          <w:iCs/>
          <w:color w:val="444444"/>
        </w:rPr>
        <w:t>the person responsible for paying such consideration shall, before releasing the consideration, ensure that tax required to be deducted has been paid in respect of such consideration for the transfer of virtual digital asset.</w:t>
      </w:r>
    </w:p>
    <w:p w:rsidR="00C53D4A" w:rsidRDefault="00C53D4A" w:rsidP="00C53D4A">
      <w:pPr>
        <w:pStyle w:val="tx"/>
        <w:shd w:val="clear" w:color="auto" w:fill="FFFFFF"/>
        <w:spacing w:before="0" w:beforeAutospacing="0" w:after="80" w:afterAutospacing="0"/>
        <w:jc w:val="both"/>
        <w:rPr>
          <w:color w:val="444444"/>
        </w:rPr>
      </w:pPr>
      <w:r>
        <w:rPr>
          <w:i/>
          <w:iCs/>
          <w:color w:val="444444"/>
        </w:rPr>
        <w:t>(2) The provisions of </w:t>
      </w:r>
      <w:hyperlink r:id="rId7" w:history="1">
        <w:r>
          <w:rPr>
            <w:rStyle w:val="Hyperlink"/>
            <w:i/>
            <w:iCs/>
            <w:color w:val="0072C6"/>
          </w:rPr>
          <w:t>sections 203A</w:t>
        </w:r>
      </w:hyperlink>
      <w:r>
        <w:rPr>
          <w:i/>
          <w:iCs/>
          <w:color w:val="444444"/>
        </w:rPr>
        <w:t> and </w:t>
      </w:r>
      <w:hyperlink r:id="rId8" w:history="1">
        <w:r>
          <w:rPr>
            <w:rStyle w:val="Hyperlink"/>
            <w:i/>
            <w:iCs/>
            <w:color w:val="0072C6"/>
          </w:rPr>
          <w:t>206AB</w:t>
        </w:r>
      </w:hyperlink>
      <w:r>
        <w:rPr>
          <w:i/>
          <w:iCs/>
          <w:color w:val="444444"/>
        </w:rPr>
        <w:t> shall not apply to a specified person.</w:t>
      </w:r>
    </w:p>
    <w:p w:rsidR="00C53D4A" w:rsidRDefault="00C53D4A" w:rsidP="00C53D4A">
      <w:pPr>
        <w:pStyle w:val="tx"/>
        <w:shd w:val="clear" w:color="auto" w:fill="FFFFFF"/>
        <w:spacing w:before="0" w:beforeAutospacing="0" w:after="80" w:afterAutospacing="0"/>
        <w:jc w:val="both"/>
        <w:rPr>
          <w:color w:val="444444"/>
        </w:rPr>
      </w:pPr>
      <w:r>
        <w:rPr>
          <w:i/>
          <w:iCs/>
          <w:color w:val="444444"/>
        </w:rPr>
        <w:t>(3) Notwithstanding anything contained in sub-section (1), no tax shall be deducted in a case, where—</w:t>
      </w:r>
    </w:p>
    <w:p w:rsidR="00C53D4A" w:rsidRDefault="00C53D4A" w:rsidP="00C53D4A">
      <w:pPr>
        <w:pStyle w:val="indent1"/>
        <w:shd w:val="clear" w:color="auto" w:fill="FFFFFF"/>
        <w:spacing w:before="0" w:beforeAutospacing="0" w:after="80" w:afterAutospacing="0"/>
        <w:ind w:left="567" w:hanging="397"/>
        <w:jc w:val="both"/>
        <w:rPr>
          <w:color w:val="444444"/>
        </w:rPr>
      </w:pPr>
      <w:r>
        <w:rPr>
          <w:color w:val="444444"/>
        </w:rPr>
        <w:t> </w:t>
      </w:r>
      <w:r>
        <w:rPr>
          <w:i/>
          <w:iCs/>
          <w:color w:val="444444"/>
        </w:rPr>
        <w:t>(</w:t>
      </w:r>
      <w:r>
        <w:rPr>
          <w:color w:val="444444"/>
        </w:rPr>
        <w:t>a</w:t>
      </w:r>
      <w:r>
        <w:rPr>
          <w:i/>
          <w:iCs/>
          <w:color w:val="444444"/>
        </w:rPr>
        <w:t>)</w:t>
      </w:r>
      <w:r>
        <w:rPr>
          <w:color w:val="444444"/>
        </w:rPr>
        <w:t> </w:t>
      </w:r>
      <w:r>
        <w:rPr>
          <w:i/>
          <w:iCs/>
          <w:color w:val="444444"/>
        </w:rPr>
        <w:t>the consideration is payable by a specified person and the value or aggregate value of such consideration does not exceed fifty thousand rupees during the financial year; or</w:t>
      </w:r>
    </w:p>
    <w:p w:rsidR="00C53D4A" w:rsidRDefault="00C53D4A" w:rsidP="00C53D4A">
      <w:pPr>
        <w:pStyle w:val="indent1"/>
        <w:shd w:val="clear" w:color="auto" w:fill="FFFFFF"/>
        <w:spacing w:before="0" w:beforeAutospacing="0" w:after="80" w:afterAutospacing="0"/>
        <w:ind w:left="567" w:hanging="397"/>
        <w:jc w:val="both"/>
        <w:rPr>
          <w:color w:val="444444"/>
        </w:rPr>
      </w:pPr>
      <w:r>
        <w:rPr>
          <w:color w:val="444444"/>
        </w:rPr>
        <w:t> </w:t>
      </w:r>
      <w:r>
        <w:rPr>
          <w:i/>
          <w:iCs/>
          <w:color w:val="444444"/>
        </w:rPr>
        <w:t>(</w:t>
      </w:r>
      <w:r>
        <w:rPr>
          <w:color w:val="444444"/>
        </w:rPr>
        <w:t>b</w:t>
      </w:r>
      <w:r>
        <w:rPr>
          <w:i/>
          <w:iCs/>
          <w:color w:val="444444"/>
        </w:rPr>
        <w:t>)</w:t>
      </w:r>
      <w:r>
        <w:rPr>
          <w:color w:val="444444"/>
        </w:rPr>
        <w:t> </w:t>
      </w:r>
      <w:r>
        <w:rPr>
          <w:i/>
          <w:iCs/>
          <w:color w:val="444444"/>
        </w:rPr>
        <w:t>the consideration is payable by any person other than a specified person and the value or aggregate value of such consideration does not exceed ten thousand rupees during the financial year.</w:t>
      </w:r>
    </w:p>
    <w:p w:rsidR="00C53D4A" w:rsidRDefault="00C53D4A" w:rsidP="00C53D4A">
      <w:pPr>
        <w:pStyle w:val="tx"/>
        <w:shd w:val="clear" w:color="auto" w:fill="FFFFFF"/>
        <w:spacing w:before="0" w:beforeAutospacing="0" w:after="80" w:afterAutospacing="0"/>
        <w:jc w:val="both"/>
        <w:rPr>
          <w:color w:val="444444"/>
        </w:rPr>
      </w:pPr>
      <w:r>
        <w:rPr>
          <w:i/>
          <w:iCs/>
          <w:color w:val="444444"/>
        </w:rPr>
        <w:t>(4) Notwithstanding anything contained in </w:t>
      </w:r>
      <w:hyperlink r:id="rId9" w:history="1">
        <w:r>
          <w:rPr>
            <w:rStyle w:val="Hyperlink"/>
            <w:i/>
            <w:iCs/>
            <w:color w:val="0072C6"/>
          </w:rPr>
          <w:t>section 194-O</w:t>
        </w:r>
      </w:hyperlink>
      <w:r>
        <w:rPr>
          <w:i/>
          <w:iCs/>
          <w:color w:val="444444"/>
        </w:rPr>
        <w:t>, in case of a transaction to which the provisions of the said section are also applicable along with the provisions of this section, then, tax shall be deducted under sub-section (1).</w:t>
      </w:r>
    </w:p>
    <w:p w:rsidR="00C53D4A" w:rsidRDefault="00C53D4A" w:rsidP="00C53D4A">
      <w:pPr>
        <w:pStyle w:val="tx"/>
        <w:shd w:val="clear" w:color="auto" w:fill="FFFFFF"/>
        <w:spacing w:before="0" w:beforeAutospacing="0" w:after="80" w:afterAutospacing="0"/>
        <w:jc w:val="both"/>
        <w:rPr>
          <w:color w:val="444444"/>
        </w:rPr>
      </w:pPr>
      <w:r>
        <w:rPr>
          <w:i/>
          <w:iCs/>
          <w:color w:val="444444"/>
        </w:rPr>
        <w:t>(5) Where any sum referred to in sub-section (1) is credited to any account, whether called "Suspense Account" or by any other name, in the books of account of the person liable to pay such sum, such credit of the sum shall be deemed to be the credit of such sum to the account of the payee and the provisions of this section shall apply accordingly.</w:t>
      </w:r>
    </w:p>
    <w:p w:rsidR="00C53D4A" w:rsidRDefault="00C53D4A" w:rsidP="00C53D4A">
      <w:pPr>
        <w:pStyle w:val="tx"/>
        <w:shd w:val="clear" w:color="auto" w:fill="FFFFFF"/>
        <w:spacing w:before="0" w:beforeAutospacing="0" w:after="80" w:afterAutospacing="0"/>
        <w:jc w:val="both"/>
        <w:rPr>
          <w:color w:val="444444"/>
        </w:rPr>
      </w:pPr>
      <w:r>
        <w:rPr>
          <w:i/>
          <w:iCs/>
          <w:color w:val="444444"/>
        </w:rPr>
        <w:t>(6) If any difficulty arises in giving effect to the provisions of this section, the Board may, with the prior approval of the Central Government, issue guidelines for the purposes of removing the difficulty.</w:t>
      </w:r>
    </w:p>
    <w:p w:rsidR="00C53D4A" w:rsidRDefault="00C53D4A" w:rsidP="00C53D4A">
      <w:pPr>
        <w:pStyle w:val="tx"/>
        <w:shd w:val="clear" w:color="auto" w:fill="FFFFFF"/>
        <w:spacing w:before="0" w:beforeAutospacing="0" w:after="80" w:afterAutospacing="0"/>
        <w:jc w:val="both"/>
        <w:rPr>
          <w:color w:val="444444"/>
        </w:rPr>
      </w:pPr>
      <w:r>
        <w:rPr>
          <w:i/>
          <w:iCs/>
          <w:color w:val="444444"/>
        </w:rPr>
        <w:t>(7) Every guideline issued by the Board under sub-section (6) shall be laid before each House of Parliament, and shall be binding on the income-tax authorities and on the person responsible for paying the consideration on transfer of such virtual digital asset.</w:t>
      </w:r>
    </w:p>
    <w:p w:rsidR="00C53D4A" w:rsidRDefault="00C53D4A" w:rsidP="00C53D4A">
      <w:pPr>
        <w:pStyle w:val="tx"/>
        <w:shd w:val="clear" w:color="auto" w:fill="FFFFFF"/>
        <w:spacing w:before="0" w:beforeAutospacing="0" w:after="80" w:afterAutospacing="0"/>
        <w:jc w:val="both"/>
        <w:rPr>
          <w:color w:val="444444"/>
        </w:rPr>
      </w:pPr>
      <w:r>
        <w:rPr>
          <w:color w:val="444444"/>
        </w:rPr>
        <w:t>Explanation</w:t>
      </w:r>
      <w:r>
        <w:rPr>
          <w:i/>
          <w:iCs/>
          <w:color w:val="444444"/>
        </w:rPr>
        <w:t>.—</w:t>
      </w:r>
      <w:proofErr w:type="gramStart"/>
      <w:r>
        <w:rPr>
          <w:i/>
          <w:iCs/>
          <w:color w:val="444444"/>
        </w:rPr>
        <w:t>For</w:t>
      </w:r>
      <w:proofErr w:type="gramEnd"/>
      <w:r>
        <w:rPr>
          <w:i/>
          <w:iCs/>
          <w:color w:val="444444"/>
        </w:rPr>
        <w:t xml:space="preserve"> the purposes of this section "specified person" means a person,—</w:t>
      </w:r>
    </w:p>
    <w:p w:rsidR="00C53D4A" w:rsidRDefault="00C53D4A" w:rsidP="00C53D4A">
      <w:pPr>
        <w:pStyle w:val="indent1"/>
        <w:shd w:val="clear" w:color="auto" w:fill="FFFFFF"/>
        <w:spacing w:before="0" w:beforeAutospacing="0" w:after="80" w:afterAutospacing="0"/>
        <w:ind w:left="567" w:hanging="397"/>
        <w:jc w:val="both"/>
        <w:rPr>
          <w:color w:val="444444"/>
        </w:rPr>
      </w:pPr>
      <w:r>
        <w:rPr>
          <w:color w:val="444444"/>
        </w:rPr>
        <w:t> </w:t>
      </w:r>
      <w:r>
        <w:rPr>
          <w:i/>
          <w:iCs/>
          <w:color w:val="444444"/>
        </w:rPr>
        <w:t>(</w:t>
      </w:r>
      <w:r>
        <w:rPr>
          <w:color w:val="444444"/>
        </w:rPr>
        <w:t>a</w:t>
      </w:r>
      <w:r>
        <w:rPr>
          <w:i/>
          <w:iCs/>
          <w:color w:val="444444"/>
        </w:rPr>
        <w:t>)</w:t>
      </w:r>
      <w:r>
        <w:rPr>
          <w:color w:val="444444"/>
        </w:rPr>
        <w:t> </w:t>
      </w:r>
      <w:r>
        <w:rPr>
          <w:i/>
          <w:iCs/>
          <w:color w:val="444444"/>
        </w:rPr>
        <w:t>being an individual or a Hindu undivided family, whose total sales, gross receipts or turnover from the business carried on by him or profession exercised by him does not exceed one crore rupees in case of business or fifty lakh rupees in case of profession, during the financial year immediately preceding the financial year in which such virtual digital asset is transferred;</w:t>
      </w:r>
    </w:p>
    <w:p w:rsidR="00F950BD" w:rsidRDefault="00C53D4A" w:rsidP="00C53D4A">
      <w:pPr>
        <w:pStyle w:val="indent1"/>
        <w:shd w:val="clear" w:color="auto" w:fill="FFFFFF"/>
        <w:spacing w:before="0" w:beforeAutospacing="0" w:after="80" w:afterAutospacing="0"/>
        <w:ind w:left="567" w:hanging="397"/>
        <w:jc w:val="both"/>
        <w:rPr>
          <w:b/>
          <w:bCs/>
          <w:color w:val="444444"/>
        </w:rPr>
      </w:pPr>
      <w:r>
        <w:rPr>
          <w:color w:val="444444"/>
        </w:rPr>
        <w:t> </w:t>
      </w:r>
      <w:r>
        <w:rPr>
          <w:i/>
          <w:iCs/>
          <w:color w:val="444444"/>
        </w:rPr>
        <w:t>(</w:t>
      </w:r>
      <w:r>
        <w:rPr>
          <w:color w:val="444444"/>
        </w:rPr>
        <w:t>b</w:t>
      </w:r>
      <w:r>
        <w:rPr>
          <w:i/>
          <w:iCs/>
          <w:color w:val="444444"/>
        </w:rPr>
        <w:t>)</w:t>
      </w:r>
      <w:r>
        <w:rPr>
          <w:color w:val="444444"/>
        </w:rPr>
        <w:t> </w:t>
      </w:r>
      <w:r>
        <w:rPr>
          <w:i/>
          <w:iCs/>
          <w:color w:val="444444"/>
        </w:rPr>
        <w:t>being an individual or a Hindu undivided family, not having any income under the head "Profits and gains of business or profession"</w:t>
      </w:r>
      <w:r>
        <w:rPr>
          <w:color w:val="444444"/>
        </w:rPr>
        <w:t>.</w:t>
      </w:r>
      <w:r>
        <w:rPr>
          <w:b/>
          <w:bCs/>
          <w:color w:val="444444"/>
        </w:rPr>
        <w:t>]</w:t>
      </w:r>
    </w:p>
    <w:p w:rsidR="008B185E" w:rsidRDefault="008B185E">
      <w:pPr>
        <w:rPr>
          <w:rFonts w:ascii="Times New Roman" w:eastAsia="Times New Roman" w:hAnsi="Times New Roman" w:cs="Times New Roman"/>
          <w:i/>
          <w:iCs/>
          <w:color w:val="444444"/>
          <w:sz w:val="24"/>
          <w:szCs w:val="24"/>
          <w:lang w:eastAsia="en-IN" w:bidi="hi-IN"/>
        </w:rPr>
      </w:pPr>
      <w:r>
        <w:rPr>
          <w:rFonts w:ascii="Times New Roman" w:eastAsia="Times New Roman" w:hAnsi="Times New Roman" w:cs="Times New Roman"/>
          <w:i/>
          <w:iCs/>
          <w:color w:val="444444"/>
          <w:sz w:val="24"/>
          <w:szCs w:val="24"/>
          <w:lang w:eastAsia="en-IN" w:bidi="hi-IN"/>
        </w:rPr>
        <w:br w:type="page"/>
      </w:r>
    </w:p>
    <w:p w:rsidR="001E312A" w:rsidRDefault="001E312A" w:rsidP="00915DD7">
      <w:pPr>
        <w:rPr>
          <w:rFonts w:ascii="Times New Roman" w:eastAsia="Times New Roman" w:hAnsi="Times New Roman" w:cs="Times New Roman"/>
          <w:color w:val="444444"/>
          <w:sz w:val="24"/>
          <w:szCs w:val="24"/>
          <w:lang w:eastAsia="en-IN" w:bidi="hi-IN"/>
        </w:rPr>
      </w:pPr>
    </w:p>
    <w:p w:rsidR="00547BD5" w:rsidRDefault="00547BD5" w:rsidP="00915DD7">
      <w:pPr>
        <w:rPr>
          <w:rFonts w:ascii="Times New Roman" w:eastAsia="Times New Roman" w:hAnsi="Times New Roman" w:cs="Times New Roman"/>
          <w:color w:val="444444"/>
          <w:sz w:val="24"/>
          <w:szCs w:val="24"/>
          <w:lang w:eastAsia="en-IN" w:bidi="hi-IN"/>
        </w:rPr>
      </w:pPr>
    </w:p>
    <w:p w:rsidR="00547BD5" w:rsidRPr="008B185E" w:rsidRDefault="00547BD5" w:rsidP="00915DD7">
      <w:pPr>
        <w:rPr>
          <w:rFonts w:ascii="Times New Roman" w:eastAsia="Times New Roman" w:hAnsi="Times New Roman" w:cs="Times New Roman"/>
          <w:color w:val="444444"/>
          <w:sz w:val="24"/>
          <w:szCs w:val="24"/>
          <w:lang w:eastAsia="en-IN" w:bidi="hi-IN"/>
        </w:rPr>
      </w:pPr>
    </w:p>
    <w:sectPr w:rsidR="00547BD5" w:rsidRPr="008B185E" w:rsidSect="00862A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6163D"/>
    <w:multiLevelType w:val="multilevel"/>
    <w:tmpl w:val="95AECDE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73C"/>
    <w:rsid w:val="001E312A"/>
    <w:rsid w:val="0048473C"/>
    <w:rsid w:val="00536611"/>
    <w:rsid w:val="00547BD5"/>
    <w:rsid w:val="005E54DD"/>
    <w:rsid w:val="00862A68"/>
    <w:rsid w:val="008B185E"/>
    <w:rsid w:val="00915DD7"/>
    <w:rsid w:val="00C53D4A"/>
    <w:rsid w:val="00F67A45"/>
    <w:rsid w:val="00F950B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basedOn w:val="Normal"/>
    <w:rsid w:val="00C53D4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C53D4A"/>
    <w:rPr>
      <w:color w:val="0000FF"/>
      <w:u w:val="single"/>
    </w:rPr>
  </w:style>
  <w:style w:type="paragraph" w:customStyle="1" w:styleId="indent1">
    <w:name w:val="indent1"/>
    <w:basedOn w:val="Normal"/>
    <w:rsid w:val="00C53D4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8B185E"/>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r="http://schemas.openxmlformats.org/officeDocument/2006/relationships" xmlns:w="http://schemas.openxmlformats.org/wordprocessingml/2006/main">
  <w:divs>
    <w:div w:id="530336314">
      <w:bodyDiv w:val="1"/>
      <w:marLeft w:val="0"/>
      <w:marRight w:val="0"/>
      <w:marTop w:val="0"/>
      <w:marBottom w:val="0"/>
      <w:divBdr>
        <w:top w:val="none" w:sz="0" w:space="0" w:color="auto"/>
        <w:left w:val="none" w:sz="0" w:space="0" w:color="auto"/>
        <w:bottom w:val="none" w:sz="0" w:space="0" w:color="auto"/>
        <w:right w:val="none" w:sz="0" w:space="0" w:color="auto"/>
      </w:divBdr>
    </w:div>
    <w:div w:id="678000267">
      <w:bodyDiv w:val="1"/>
      <w:marLeft w:val="0"/>
      <w:marRight w:val="0"/>
      <w:marTop w:val="0"/>
      <w:marBottom w:val="0"/>
      <w:divBdr>
        <w:top w:val="none" w:sz="0" w:space="0" w:color="auto"/>
        <w:left w:val="none" w:sz="0" w:space="0" w:color="auto"/>
        <w:bottom w:val="none" w:sz="0" w:space="0" w:color="auto"/>
        <w:right w:val="none" w:sz="0" w:space="0" w:color="auto"/>
      </w:divBdr>
    </w:div>
    <w:div w:id="983244179">
      <w:bodyDiv w:val="1"/>
      <w:marLeft w:val="0"/>
      <w:marRight w:val="0"/>
      <w:marTop w:val="0"/>
      <w:marBottom w:val="0"/>
      <w:divBdr>
        <w:top w:val="none" w:sz="0" w:space="0" w:color="auto"/>
        <w:left w:val="none" w:sz="0" w:space="0" w:color="auto"/>
        <w:bottom w:val="none" w:sz="0" w:space="0" w:color="auto"/>
        <w:right w:val="none" w:sz="0" w:space="0" w:color="auto"/>
      </w:divBdr>
    </w:div>
    <w:div w:id="17593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MainContent('Act',%20'CMSID',%20'102120000000079258',%20'');" TargetMode="External"/><Relationship Id="rId3" Type="http://schemas.openxmlformats.org/officeDocument/2006/relationships/settings" Target="settings.xml"/><Relationship Id="rId7" Type="http://schemas.openxmlformats.org/officeDocument/2006/relationships/hyperlink" Target="javascript:ShowMainContent('Act',%20'CMSID',%20'10212000000007925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howFootnote2022('fn31');" TargetMode="External"/><Relationship Id="rId11" Type="http://schemas.openxmlformats.org/officeDocument/2006/relationships/theme" Target="theme/theme1.xml"/><Relationship Id="rId5" Type="http://schemas.openxmlformats.org/officeDocument/2006/relationships/hyperlink" Target="javascript:ShowFootnote2022('fn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ShowMainContent('Act',%20'CMSID',%20'10212000000007957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Guru</dc:creator>
  <cp:keywords/>
  <dc:description/>
  <cp:lastModifiedBy>HP</cp:lastModifiedBy>
  <cp:revision>7</cp:revision>
  <dcterms:created xsi:type="dcterms:W3CDTF">2023-02-22T19:09:00Z</dcterms:created>
  <dcterms:modified xsi:type="dcterms:W3CDTF">2023-05-09T05:05:00Z</dcterms:modified>
</cp:coreProperties>
</file>